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310"/>
      </w:tblGrid>
      <w:tr w:rsidR="00145A8B" w:rsidTr="00171A96">
        <w:tc>
          <w:tcPr>
            <w:tcW w:w="4680" w:type="dxa"/>
          </w:tcPr>
          <w:p w:rsidR="00145A8B" w:rsidRPr="00145A8B" w:rsidRDefault="00145A8B" w:rsidP="00145A8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5A8B">
              <w:rPr>
                <w:rFonts w:ascii="Times New Roman" w:hAnsi="Times New Roman" w:cs="Times New Roman"/>
                <w:sz w:val="24"/>
                <w:szCs w:val="26"/>
              </w:rPr>
              <w:t>ĐẠI HỌC THÁI NGUYÊN</w:t>
            </w:r>
          </w:p>
        </w:tc>
        <w:tc>
          <w:tcPr>
            <w:tcW w:w="5310" w:type="dxa"/>
          </w:tcPr>
          <w:p w:rsidR="00145A8B" w:rsidRPr="00145A8B" w:rsidRDefault="00145A8B" w:rsidP="00145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A8B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145A8B" w:rsidTr="00171A96">
        <w:tc>
          <w:tcPr>
            <w:tcW w:w="4680" w:type="dxa"/>
          </w:tcPr>
          <w:p w:rsidR="00145A8B" w:rsidRPr="00145A8B" w:rsidRDefault="00FA048F" w:rsidP="00145A8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2.35pt;margin-top:15.05pt;width:111.75pt;height:0;z-index:251658240;mso-position-horizontal-relative:text;mso-position-vertical-relative:text" o:connectortype="straight"/>
              </w:pict>
            </w:r>
            <w:r w:rsidR="00145A8B" w:rsidRPr="00145A8B">
              <w:rPr>
                <w:rFonts w:ascii="Times New Roman" w:hAnsi="Times New Roman" w:cs="Times New Roman"/>
                <w:b/>
                <w:sz w:val="24"/>
                <w:szCs w:val="26"/>
              </w:rPr>
              <w:t>TRƯỜNG ĐẠI HỌC KINH TẾ VÀ QTKD</w:t>
            </w:r>
          </w:p>
        </w:tc>
        <w:tc>
          <w:tcPr>
            <w:tcW w:w="5310" w:type="dxa"/>
          </w:tcPr>
          <w:p w:rsidR="00145A8B" w:rsidRDefault="00145A8B" w:rsidP="00145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145A8B" w:rsidRPr="00145A8B" w:rsidRDefault="00FA048F" w:rsidP="00145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48.6pt;margin-top:.1pt;width:158.25pt;height:0;z-index:251659264" o:connectortype="straight"/>
              </w:pict>
            </w:r>
          </w:p>
        </w:tc>
      </w:tr>
      <w:tr w:rsidR="00145A8B" w:rsidTr="00171A96">
        <w:tc>
          <w:tcPr>
            <w:tcW w:w="4680" w:type="dxa"/>
          </w:tcPr>
          <w:p w:rsidR="00145A8B" w:rsidRDefault="00145A8B" w:rsidP="0071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12024">
              <w:rPr>
                <w:rFonts w:ascii="Times New Roman" w:hAnsi="Times New Roman" w:cs="Times New Roman"/>
                <w:sz w:val="26"/>
                <w:szCs w:val="26"/>
              </w:rPr>
              <w:t xml:space="preserve"> 481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/BC-ĐHKT&amp;QTKD-TTPC</w:t>
            </w:r>
          </w:p>
        </w:tc>
        <w:tc>
          <w:tcPr>
            <w:tcW w:w="5310" w:type="dxa"/>
          </w:tcPr>
          <w:p w:rsidR="00145A8B" w:rsidRPr="00145A8B" w:rsidRDefault="00145A8B" w:rsidP="007120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120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:rsidR="00AD7C08" w:rsidRDefault="00F36672" w:rsidP="00F36672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6672" w:rsidRPr="00F36672" w:rsidRDefault="00F36672" w:rsidP="00F36672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36672">
        <w:rPr>
          <w:rFonts w:ascii="Times New Roman" w:hAnsi="Times New Roman" w:cs="Times New Roman"/>
          <w:b/>
          <w:sz w:val="28"/>
          <w:szCs w:val="26"/>
        </w:rPr>
        <w:t>BÁO CÁO</w:t>
      </w:r>
    </w:p>
    <w:p w:rsidR="00F36672" w:rsidRDefault="00FA048F" w:rsidP="00F36672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pict>
          <v:shape id="_x0000_s1028" type="#_x0000_t32" style="position:absolute;left:0;text-align:left;margin-left:201pt;margin-top:56.2pt;width:84.75pt;height:0;z-index:251660288" o:connectortype="straight"/>
        </w:pict>
      </w:r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V/v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những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vướng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mắc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trong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quá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trình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thục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hiện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các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chính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sách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pháp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luật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về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đất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proofErr w:type="gram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đai</w:t>
      </w:r>
      <w:proofErr w:type="spellEnd"/>
      <w:proofErr w:type="gram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từ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khi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có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Luật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đất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đai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2013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đến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nay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theo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tinh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thần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Nghị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quyết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19-NQTW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Đảng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b/>
          <w:sz w:val="28"/>
          <w:szCs w:val="26"/>
        </w:rPr>
        <w:t>khóa</w:t>
      </w:r>
      <w:proofErr w:type="spellEnd"/>
      <w:r w:rsidR="00F36672" w:rsidRPr="00F36672">
        <w:rPr>
          <w:rFonts w:ascii="Times New Roman" w:hAnsi="Times New Roman" w:cs="Times New Roman"/>
          <w:b/>
          <w:sz w:val="28"/>
          <w:szCs w:val="26"/>
        </w:rPr>
        <w:t xml:space="preserve"> XI</w:t>
      </w:r>
    </w:p>
    <w:p w:rsidR="00F36672" w:rsidRDefault="006268F0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817/ĐHTN-CSVC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17/5/2021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vướng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thục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36672" w:rsidRPr="00F36672">
        <w:rPr>
          <w:rFonts w:ascii="Times New Roman" w:hAnsi="Times New Roman" w:cs="Times New Roman"/>
          <w:sz w:val="26"/>
          <w:szCs w:val="26"/>
        </w:rPr>
        <w:t>đai</w:t>
      </w:r>
      <w:proofErr w:type="spellEnd"/>
      <w:proofErr w:type="gram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19-NQTW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 w:rsidRPr="00F36672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F36672" w:rsidRPr="00F36672">
        <w:rPr>
          <w:rFonts w:ascii="Times New Roman" w:hAnsi="Times New Roman" w:cs="Times New Roman"/>
          <w:sz w:val="26"/>
          <w:szCs w:val="26"/>
        </w:rPr>
        <w:t xml:space="preserve"> XI</w:t>
      </w:r>
      <w:r w:rsidR="00F366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6672" w:rsidRDefault="006268F0" w:rsidP="00BD569D">
      <w:pPr>
        <w:tabs>
          <w:tab w:val="left" w:pos="720"/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36672">
        <w:rPr>
          <w:rFonts w:ascii="Times New Roman" w:hAnsi="Times New Roman" w:cs="Times New Roman"/>
          <w:sz w:val="26"/>
          <w:szCs w:val="26"/>
        </w:rPr>
        <w:t>đai</w:t>
      </w:r>
      <w:proofErr w:type="spellEnd"/>
      <w:proofErr w:type="gram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>:</w:t>
      </w:r>
    </w:p>
    <w:p w:rsidR="00374C5F" w:rsidRDefault="006268F0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667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D5755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57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7551">
        <w:rPr>
          <w:rFonts w:ascii="Times New Roman" w:hAnsi="Times New Roman" w:cs="Times New Roman"/>
          <w:sz w:val="26"/>
          <w:szCs w:val="26"/>
        </w:rPr>
        <w:t>t</w:t>
      </w:r>
      <w:r w:rsidR="00F36672">
        <w:rPr>
          <w:rFonts w:ascii="Times New Roman" w:hAnsi="Times New Roman" w:cs="Times New Roman"/>
          <w:sz w:val="26"/>
          <w:szCs w:val="26"/>
        </w:rPr>
        <w:t>ình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đấ</w:t>
      </w:r>
      <w:r w:rsidR="00374C5F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2013: </w:t>
      </w:r>
      <w:proofErr w:type="spellStart"/>
      <w:r w:rsidR="00A3189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A31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89A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A31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89A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A31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89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A31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8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31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2012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41571,3 m2,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8157F">
        <w:rPr>
          <w:rFonts w:ascii="Times New Roman" w:hAnsi="Times New Roman" w:cs="Times New Roman"/>
          <w:sz w:val="26"/>
          <w:szCs w:val="26"/>
        </w:rPr>
        <w:t>,</w:t>
      </w:r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: 30722 m2.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1311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17E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1311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17E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1311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17E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1311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17E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1311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17E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311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17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3117E">
        <w:rPr>
          <w:rFonts w:ascii="Times New Roman" w:hAnsi="Times New Roman" w:cs="Times New Roman"/>
          <w:sz w:val="26"/>
          <w:szCs w:val="26"/>
        </w:rPr>
        <w:t xml:space="preserve"> nay</w:t>
      </w:r>
      <w:r w:rsidR="00374C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F1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DB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="001F1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D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1F1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DB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1F1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D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F15DB">
        <w:rPr>
          <w:rFonts w:ascii="Times New Roman" w:hAnsi="Times New Roman" w:cs="Times New Roman"/>
          <w:sz w:val="26"/>
          <w:szCs w:val="26"/>
        </w:rPr>
        <w:t>,</w:t>
      </w:r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triệt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>:</w:t>
      </w:r>
    </w:p>
    <w:p w:rsidR="00374C5F" w:rsidRDefault="00BD569D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4C5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4C5F">
        <w:rPr>
          <w:rFonts w:ascii="Times New Roman" w:hAnsi="Times New Roman" w:cs="Times New Roman"/>
          <w:sz w:val="26"/>
          <w:szCs w:val="26"/>
        </w:rPr>
        <w:t>đai</w:t>
      </w:r>
      <w:proofErr w:type="spellEnd"/>
      <w:proofErr w:type="gramEnd"/>
      <w:r w:rsidR="00374C5F">
        <w:rPr>
          <w:rFonts w:ascii="Times New Roman" w:hAnsi="Times New Roman" w:cs="Times New Roman"/>
          <w:sz w:val="26"/>
          <w:szCs w:val="26"/>
        </w:rPr>
        <w:t xml:space="preserve"> 2013;</w:t>
      </w:r>
    </w:p>
    <w:p w:rsidR="00374C5F" w:rsidRDefault="00BD569D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4C5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ở 2014;</w:t>
      </w:r>
    </w:p>
    <w:p w:rsidR="00374C5F" w:rsidRDefault="00BD569D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4C5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43/2014/NĐ-CP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15/5/2014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4C5F">
        <w:rPr>
          <w:rFonts w:ascii="Times New Roman" w:hAnsi="Times New Roman" w:cs="Times New Roman"/>
          <w:sz w:val="26"/>
          <w:szCs w:val="26"/>
        </w:rPr>
        <w:t>đai</w:t>
      </w:r>
      <w:proofErr w:type="spellEnd"/>
      <w:proofErr w:type="gramEnd"/>
      <w:r w:rsidR="00374C5F">
        <w:rPr>
          <w:rFonts w:ascii="Times New Roman" w:hAnsi="Times New Roman" w:cs="Times New Roman"/>
          <w:sz w:val="26"/>
          <w:szCs w:val="26"/>
        </w:rPr>
        <w:t>;</w:t>
      </w:r>
    </w:p>
    <w:p w:rsidR="00374C5F" w:rsidRDefault="00BD569D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4C5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99/2015/NĐ-CP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20/10/2015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7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C5F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ở;</w:t>
      </w:r>
    </w:p>
    <w:p w:rsidR="006272CC" w:rsidRDefault="00BD569D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72C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01/2017/NĐ-CP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06/01/2017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>;</w:t>
      </w:r>
    </w:p>
    <w:p w:rsidR="006272CC" w:rsidRDefault="00BD569D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72C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07/2019/TT-BTP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25/11/2019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quyề</w:t>
      </w:r>
      <w:r w:rsidR="0013117E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CC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6272CC">
        <w:rPr>
          <w:rFonts w:ascii="Times New Roman" w:hAnsi="Times New Roman" w:cs="Times New Roman"/>
          <w:sz w:val="26"/>
          <w:szCs w:val="26"/>
        </w:rPr>
        <w:t>.</w:t>
      </w:r>
    </w:p>
    <w:p w:rsidR="001F15DB" w:rsidRDefault="006268F0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667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D5755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57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755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57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7551">
        <w:rPr>
          <w:rFonts w:ascii="Times New Roman" w:hAnsi="Times New Roman" w:cs="Times New Roman"/>
          <w:sz w:val="26"/>
          <w:szCs w:val="26"/>
        </w:rPr>
        <w:t>đ</w:t>
      </w:r>
      <w:r w:rsidR="00F3667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72">
        <w:rPr>
          <w:rFonts w:ascii="Times New Roman" w:hAnsi="Times New Roman" w:cs="Times New Roman"/>
          <w:sz w:val="26"/>
          <w:szCs w:val="26"/>
        </w:rPr>
        <w:t>chéo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mâu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thuẫn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</w:t>
      </w:r>
      <w:r w:rsidR="009432DF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F1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D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2D0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2D0B5D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 w:rsidRPr="009432D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2222A">
        <w:rPr>
          <w:rFonts w:ascii="Times New Roman" w:hAnsi="Times New Roman" w:cs="Times New Roman"/>
          <w:sz w:val="26"/>
          <w:szCs w:val="26"/>
        </w:rPr>
        <w:t>,</w:t>
      </w:r>
      <w:r w:rsidR="002D0B5D" w:rsidRPr="009432DF">
        <w:rPr>
          <w:rFonts w:ascii="Times New Roman" w:hAnsi="Times New Roman" w:cs="Times New Roman"/>
          <w:sz w:val="26"/>
          <w:szCs w:val="26"/>
        </w:rPr>
        <w:t>…</w:t>
      </w:r>
    </w:p>
    <w:p w:rsidR="00BD569D" w:rsidRDefault="001F15DB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BD569D" w:rsidSect="00F36672">
          <w:headerReference w:type="default" r:id="rId7"/>
          <w:pgSz w:w="11909" w:h="16834" w:code="9"/>
          <w:pgMar w:top="864" w:right="864" w:bottom="864" w:left="1440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r w:rsidR="002D0B5D">
        <w:rPr>
          <w:rFonts w:ascii="Times New Roman" w:hAnsi="Times New Roman" w:cs="Times New Roman"/>
          <w:sz w:val="26"/>
          <w:szCs w:val="26"/>
        </w:rPr>
        <w:t>òn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đị</w:t>
      </w:r>
      <w:r w:rsidR="002D0B5D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2D0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2D0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D0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D0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2D0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B5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D0B5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D0B5D">
        <w:rPr>
          <w:rFonts w:ascii="Times New Roman" w:hAnsi="Times New Roman" w:cs="Times New Roman"/>
          <w:sz w:val="26"/>
          <w:szCs w:val="26"/>
        </w:rPr>
        <w:t xml:space="preserve"> D</w:t>
      </w:r>
      <w:r w:rsidR="009432DF" w:rsidRPr="009432DF">
        <w:rPr>
          <w:rFonts w:ascii="Times New Roman" w:hAnsi="Times New Roman" w:cs="Times New Roman"/>
          <w:sz w:val="26"/>
          <w:szCs w:val="26"/>
        </w:rPr>
        <w:t xml:space="preserve">o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DF" w:rsidRPr="009432DF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9432DF" w:rsidRPr="009432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672" w:rsidRPr="009432DF" w:rsidRDefault="009432DF" w:rsidP="00BD56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32DF">
        <w:rPr>
          <w:rFonts w:ascii="Times New Roman" w:hAnsi="Times New Roman" w:cs="Times New Roman"/>
          <w:sz w:val="26"/>
          <w:szCs w:val="26"/>
        </w:rPr>
        <w:lastRenderedPageBreak/>
        <w:t>họ</w:t>
      </w:r>
      <w:proofErr w:type="spellEnd"/>
      <w:proofErr w:type="gram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DF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432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09B" w:rsidRDefault="006268F0" w:rsidP="00BD569D">
      <w:pPr>
        <w:tabs>
          <w:tab w:val="left" w:pos="720"/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1A9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đấ</w:t>
      </w:r>
      <w:r w:rsidR="009F209B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972C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2C3D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="00972C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2C3D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5E4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23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>;</w:t>
      </w:r>
    </w:p>
    <w:p w:rsidR="00171A96" w:rsidRDefault="006268F0" w:rsidP="00BD569D">
      <w:pPr>
        <w:tabs>
          <w:tab w:val="left" w:pos="720"/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1A9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A128D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A12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8D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12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8DF">
        <w:rPr>
          <w:rFonts w:ascii="Times New Roman" w:hAnsi="Times New Roman" w:cs="Times New Roman"/>
          <w:sz w:val="26"/>
          <w:szCs w:val="26"/>
        </w:rPr>
        <w:t>đ</w:t>
      </w:r>
      <w:r w:rsidR="00171A96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chéo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mâu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thuẫn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,…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cậ</w:t>
      </w:r>
      <w:r w:rsidR="009F209B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>.</w:t>
      </w:r>
    </w:p>
    <w:p w:rsidR="009F209B" w:rsidRDefault="006268F0" w:rsidP="00BD569D">
      <w:pPr>
        <w:tabs>
          <w:tab w:val="left" w:pos="720"/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171A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F2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09B">
        <w:rPr>
          <w:rFonts w:ascii="Times New Roman" w:hAnsi="Times New Roman" w:cs="Times New Roman"/>
          <w:sz w:val="26"/>
          <w:szCs w:val="26"/>
        </w:rPr>
        <w:t>đ</w:t>
      </w:r>
      <w:r w:rsidR="00171A96">
        <w:rPr>
          <w:rFonts w:ascii="Times New Roman" w:hAnsi="Times New Roman" w:cs="Times New Roman"/>
          <w:sz w:val="26"/>
          <w:szCs w:val="26"/>
        </w:rPr>
        <w:t>ề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71A96">
        <w:rPr>
          <w:rFonts w:ascii="Times New Roman" w:hAnsi="Times New Roman" w:cs="Times New Roman"/>
          <w:sz w:val="26"/>
          <w:szCs w:val="26"/>
        </w:rPr>
        <w:t>đai</w:t>
      </w:r>
      <w:proofErr w:type="spellEnd"/>
      <w:proofErr w:type="gram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luậ</w:t>
      </w:r>
      <w:r w:rsidR="00A30606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>.</w:t>
      </w:r>
    </w:p>
    <w:p w:rsidR="00171A96" w:rsidRDefault="006268F0" w:rsidP="00BD569D">
      <w:pPr>
        <w:tabs>
          <w:tab w:val="left" w:pos="720"/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r w:rsidR="00A30606">
        <w:rPr>
          <w:rFonts w:ascii="Times New Roman" w:hAnsi="Times New Roman" w:cs="Times New Roman"/>
          <w:sz w:val="26"/>
          <w:szCs w:val="26"/>
        </w:rPr>
        <w:t>41571,3 m2</w:t>
      </w:r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A3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0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216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6F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216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6F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vướng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thục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đai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19-NQTW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 w:rsidRPr="00F36672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171A96" w:rsidRPr="00F36672">
        <w:rPr>
          <w:rFonts w:ascii="Times New Roman" w:hAnsi="Times New Roman" w:cs="Times New Roman"/>
          <w:sz w:val="26"/>
          <w:szCs w:val="26"/>
        </w:rPr>
        <w:t xml:space="preserve"> XI</w:t>
      </w:r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A9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171A96">
        <w:rPr>
          <w:rFonts w:ascii="Times New Roman" w:hAnsi="Times New Roman" w:cs="Times New Roman"/>
          <w:sz w:val="26"/>
          <w:szCs w:val="26"/>
        </w:rPr>
        <w:t>./.</w:t>
      </w:r>
    </w:p>
    <w:p w:rsidR="002A5775" w:rsidRDefault="002A5775" w:rsidP="00BD569D">
      <w:pPr>
        <w:tabs>
          <w:tab w:val="left" w:pos="720"/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171A96" w:rsidTr="00DB0C3C">
        <w:tc>
          <w:tcPr>
            <w:tcW w:w="4910" w:type="dxa"/>
          </w:tcPr>
          <w:p w:rsidR="00171A96" w:rsidRPr="00171A96" w:rsidRDefault="00171A96" w:rsidP="00F36672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:</w:t>
            </w:r>
          </w:p>
        </w:tc>
        <w:tc>
          <w:tcPr>
            <w:tcW w:w="4911" w:type="dxa"/>
          </w:tcPr>
          <w:p w:rsidR="00171A96" w:rsidRPr="00171A96" w:rsidRDefault="00171A96" w:rsidP="00171A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</w:tr>
      <w:tr w:rsidR="00171A96" w:rsidTr="00DB0C3C">
        <w:tc>
          <w:tcPr>
            <w:tcW w:w="4910" w:type="dxa"/>
          </w:tcPr>
          <w:p w:rsidR="00171A96" w:rsidRPr="00171A96" w:rsidRDefault="00171A96" w:rsidP="00F36672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ĐHTN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b/c);</w:t>
            </w:r>
          </w:p>
        </w:tc>
        <w:tc>
          <w:tcPr>
            <w:tcW w:w="4911" w:type="dxa"/>
          </w:tcPr>
          <w:p w:rsidR="00171A96" w:rsidRDefault="00171A96" w:rsidP="00171A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A96" w:rsidTr="00DB0C3C">
        <w:tc>
          <w:tcPr>
            <w:tcW w:w="4910" w:type="dxa"/>
          </w:tcPr>
          <w:p w:rsidR="00171A96" w:rsidRPr="00171A96" w:rsidRDefault="00171A96" w:rsidP="00F36672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: VT, TTPC.</w:t>
            </w:r>
          </w:p>
        </w:tc>
        <w:tc>
          <w:tcPr>
            <w:tcW w:w="4911" w:type="dxa"/>
          </w:tcPr>
          <w:p w:rsidR="00171A96" w:rsidRDefault="00171A96" w:rsidP="00171A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A96" w:rsidRPr="00171A96" w:rsidTr="00DB0C3C">
        <w:tc>
          <w:tcPr>
            <w:tcW w:w="4910" w:type="dxa"/>
          </w:tcPr>
          <w:p w:rsidR="00171A96" w:rsidRDefault="00171A96" w:rsidP="00F36672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1" w:type="dxa"/>
          </w:tcPr>
          <w:p w:rsidR="00DB0C3C" w:rsidRDefault="00DB0C3C" w:rsidP="00171A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  <w:p w:rsidR="00DB0C3C" w:rsidRDefault="00DB0C3C" w:rsidP="00171A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  <w:p w:rsidR="00171A96" w:rsidRPr="00171A96" w:rsidRDefault="00171A96" w:rsidP="00171A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171A9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PGS.TS. </w:t>
            </w:r>
            <w:proofErr w:type="spellStart"/>
            <w:r w:rsidRPr="00171A9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Trần</w:t>
            </w:r>
            <w:proofErr w:type="spellEnd"/>
            <w:r w:rsidRPr="00171A9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Quang Huy</w:t>
            </w:r>
          </w:p>
        </w:tc>
      </w:tr>
    </w:tbl>
    <w:p w:rsidR="00171A96" w:rsidRPr="00171A96" w:rsidRDefault="00171A96" w:rsidP="00F36672">
      <w:pPr>
        <w:tabs>
          <w:tab w:val="left" w:pos="4080"/>
        </w:tabs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F36672" w:rsidRPr="00171A96" w:rsidRDefault="00F36672" w:rsidP="00F36672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F36672" w:rsidRPr="00171A96" w:rsidRDefault="00F36672" w:rsidP="00F36672">
      <w:pPr>
        <w:rPr>
          <w:rFonts w:ascii="Times New Roman" w:hAnsi="Times New Roman" w:cs="Times New Roman"/>
          <w:sz w:val="26"/>
          <w:szCs w:val="26"/>
          <w:lang w:val="fr-FR"/>
        </w:rPr>
      </w:pPr>
    </w:p>
    <w:sectPr w:rsidR="00F36672" w:rsidRPr="00171A96" w:rsidSect="00F36672">
      <w:pgSz w:w="11909" w:h="16834" w:code="9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8F" w:rsidRDefault="00FA048F" w:rsidP="00BD569D">
      <w:pPr>
        <w:spacing w:after="0" w:line="240" w:lineRule="auto"/>
      </w:pPr>
      <w:r>
        <w:separator/>
      </w:r>
    </w:p>
  </w:endnote>
  <w:endnote w:type="continuationSeparator" w:id="0">
    <w:p w:rsidR="00FA048F" w:rsidRDefault="00FA048F" w:rsidP="00BD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8F" w:rsidRDefault="00FA048F" w:rsidP="00BD569D">
      <w:pPr>
        <w:spacing w:after="0" w:line="240" w:lineRule="auto"/>
      </w:pPr>
      <w:r>
        <w:separator/>
      </w:r>
    </w:p>
  </w:footnote>
  <w:footnote w:type="continuationSeparator" w:id="0">
    <w:p w:rsidR="00FA048F" w:rsidRDefault="00FA048F" w:rsidP="00BD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099239"/>
      <w:docPartObj>
        <w:docPartGallery w:val="Page Numbers (Top of Page)"/>
        <w:docPartUnique/>
      </w:docPartObj>
    </w:sdtPr>
    <w:sdtEndPr/>
    <w:sdtContent>
      <w:p w:rsidR="000A7F95" w:rsidRDefault="000A7F95">
        <w:pPr>
          <w:pStyle w:val="Header"/>
          <w:jc w:val="center"/>
        </w:pPr>
        <w:r w:rsidRPr="000A7F9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A7F9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A7F9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A577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A7F9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D569D" w:rsidRDefault="00BD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8B"/>
    <w:rsid w:val="000712B5"/>
    <w:rsid w:val="000A7F95"/>
    <w:rsid w:val="0013117E"/>
    <w:rsid w:val="00145A8B"/>
    <w:rsid w:val="00171A96"/>
    <w:rsid w:val="001F15DB"/>
    <w:rsid w:val="0022222A"/>
    <w:rsid w:val="002A5775"/>
    <w:rsid w:val="002D0B5D"/>
    <w:rsid w:val="00374C5F"/>
    <w:rsid w:val="005C3ECF"/>
    <w:rsid w:val="005E4231"/>
    <w:rsid w:val="006268F0"/>
    <w:rsid w:val="006272CC"/>
    <w:rsid w:val="00712024"/>
    <w:rsid w:val="00873912"/>
    <w:rsid w:val="0088157F"/>
    <w:rsid w:val="009432DF"/>
    <w:rsid w:val="00972C3D"/>
    <w:rsid w:val="009F209B"/>
    <w:rsid w:val="00A128DF"/>
    <w:rsid w:val="00A30606"/>
    <w:rsid w:val="00A3189A"/>
    <w:rsid w:val="00AD7C08"/>
    <w:rsid w:val="00B216F5"/>
    <w:rsid w:val="00B321A4"/>
    <w:rsid w:val="00BD569D"/>
    <w:rsid w:val="00D57551"/>
    <w:rsid w:val="00DB0C3C"/>
    <w:rsid w:val="00E960C5"/>
    <w:rsid w:val="00F36672"/>
    <w:rsid w:val="00FA048F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9D"/>
  </w:style>
  <w:style w:type="paragraph" w:styleId="Footer">
    <w:name w:val="footer"/>
    <w:basedOn w:val="Normal"/>
    <w:link w:val="FooterChar"/>
    <w:uiPriority w:val="99"/>
    <w:semiHidden/>
    <w:unhideWhenUsed/>
    <w:rsid w:val="00BD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26</cp:revision>
  <dcterms:created xsi:type="dcterms:W3CDTF">2021-05-20T14:51:00Z</dcterms:created>
  <dcterms:modified xsi:type="dcterms:W3CDTF">2021-05-21T08:02:00Z</dcterms:modified>
</cp:coreProperties>
</file>